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1E58" w14:textId="77777777" w:rsidR="004D7AAA" w:rsidRPr="004D7AAA" w:rsidRDefault="004D7AAA" w:rsidP="004D7AAA">
      <w:pPr>
        <w:shd w:val="clear" w:color="auto" w:fill="859EC0"/>
        <w:spacing w:after="120" w:line="240" w:lineRule="auto"/>
        <w:outlineLvl w:val="2"/>
        <w:rPr>
          <w:rFonts w:ascii="Berlin Sans FB" w:eastAsia="Times New Roman" w:hAnsi="Berlin Sans FB" w:cs="Tahoma"/>
          <w:b/>
          <w:bCs/>
          <w:color w:val="FFFFFF"/>
          <w:sz w:val="26"/>
          <w:szCs w:val="26"/>
          <w:lang w:eastAsia="es-SV"/>
        </w:rPr>
      </w:pPr>
      <w:r w:rsidRPr="004D7AAA">
        <w:rPr>
          <w:rFonts w:ascii="Berlin Sans FB" w:eastAsia="Times New Roman" w:hAnsi="Berlin Sans FB" w:cs="Tahoma"/>
          <w:b/>
          <w:bCs/>
          <w:color w:val="FFFFFF"/>
          <w:sz w:val="26"/>
          <w:szCs w:val="26"/>
          <w:lang w:eastAsia="es-SV"/>
        </w:rPr>
        <w:t>CONVENCION INTERAMERICANA SOBRE ARBITRAJE COMERCIAL INTERNACIONAL (B-35)</w:t>
      </w:r>
    </w:p>
    <w:p w14:paraId="77C6DA27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666666"/>
          <w:sz w:val="20"/>
          <w:szCs w:val="20"/>
          <w:lang w:eastAsia="es-SV"/>
        </w:rPr>
        <w:t>Texto completo (formato PDF)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 </w:t>
      </w:r>
      <w:r w:rsidRPr="004D7AAA">
        <w:rPr>
          <w:rFonts w:ascii="Berlin Sans FB" w:eastAsia="Times New Roman" w:hAnsi="Berlin Sans FB" w:cs="Times New Roman"/>
          <w:b/>
          <w:bCs/>
          <w:color w:val="333333"/>
          <w:sz w:val="20"/>
          <w:szCs w:val="20"/>
          <w:lang w:eastAsia="es-SV"/>
        </w:rPr>
        <w:t>|</w:t>
      </w:r>
      <w:r w:rsidRPr="004D7AAA">
        <w:rPr>
          <w:rFonts w:ascii="Berlin Sans FB" w:eastAsia="Times New Roman" w:hAnsi="Berlin Sans FB" w:cs="Tahoma"/>
          <w:b/>
          <w:bCs/>
          <w:color w:val="FF6600"/>
          <w:sz w:val="20"/>
          <w:szCs w:val="20"/>
          <w:lang w:eastAsia="es-SV"/>
        </w:rPr>
        <w:t> </w:t>
      </w:r>
      <w:hyperlink r:id="rId4" w:tgtFrame="_blank" w:history="1">
        <w:r w:rsidRPr="004D7AAA">
          <w:rPr>
            <w:rFonts w:ascii="Berlin Sans FB" w:eastAsia="Times New Roman" w:hAnsi="Berlin Sans FB" w:cs="Tahoma"/>
            <w:b/>
            <w:bCs/>
            <w:color w:val="0D499C"/>
            <w:sz w:val="20"/>
            <w:szCs w:val="20"/>
            <w:u w:val="single"/>
            <w:lang w:eastAsia="es-SV"/>
          </w:rPr>
          <w:t>Firmas y Ratificaciones</w:t>
        </w:r>
      </w:hyperlink>
    </w:p>
    <w:p w14:paraId="22ABEF40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 Los Gobiernos de los Estados Miembros de la Organización de los Estados Americanos, deseosos de concertar una Convención sobre Arbitraje Comercial Internacional, han acordado lo siguiente:</w:t>
      </w:r>
    </w:p>
    <w:p w14:paraId="39061F13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Artículo 1</w:t>
      </w:r>
    </w:p>
    <w:p w14:paraId="3AE2F7EA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Es válido el acuerdo de las partes en virtud del cual se obligan a someter a decisión arbitral las diferencias que pudiesen surgir o que hayan surgido entre ellas con relación a un negocio de carácter mercantil. El acuerdo respectivo constará en el escrito firmado por las partes o en el canje de cartas, telegramas o comunicaciones por </w:t>
      </w:r>
      <w:proofErr w:type="spell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telex</w:t>
      </w:r>
      <w:proofErr w:type="spell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.</w:t>
      </w:r>
    </w:p>
    <w:p w14:paraId="304DA7F2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Artículo 2</w:t>
      </w:r>
    </w:p>
    <w:p w14:paraId="2E30C3E2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El nombramiento de los árbitros se hará en la forma convenida por las partes. Su designación podrá delegarse a un tercero sea éste persona natural o jurídica.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Los árbitros podrán ser nacionales o extranjeros.</w:t>
      </w:r>
    </w:p>
    <w:p w14:paraId="1FD78E32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Artículo 3</w:t>
      </w:r>
    </w:p>
    <w:p w14:paraId="2B76C684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 falta de acuerdo expreso entre las partes el arbitraje se llevará a cabo conforme a las reglas de procedimiento de la Comisión Interamericana de Arbitraje Comercial.</w:t>
      </w:r>
    </w:p>
    <w:p w14:paraId="06AA9232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Artículo 4</w:t>
      </w:r>
    </w:p>
    <w:p w14:paraId="58B72C47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Las sentencias o laudos arbitrales no impugnables según la ley o reglas procesales </w:t>
      </w:r>
      <w:proofErr w:type="gram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aplicables,</w:t>
      </w:r>
      <w:proofErr w:type="gram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tendrán fuerza de sentencia judicial ejecutoriada. Su ejecución o reconocimiento podrá exigirse en la misma forma que la de las sentencias dictadas por tribunales ordinarios nacionales o extranjeros, según las leyes procesales del país donde se ejecuten, y lo que establezcan al respecto los tratados internacionales.</w:t>
      </w:r>
    </w:p>
    <w:p w14:paraId="062A8EC4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 Artículo 5</w:t>
      </w:r>
    </w:p>
    <w:p w14:paraId="29B3A90E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1. Solo se podrá denegar el reconocimiento y la ejecución de la sentencia, a solicitud de la parte contra la cual es invocada, si ésta prueba ante la autoridad competente del Estado en que se pide el reconocimiento y la ejecución:</w:t>
      </w:r>
    </w:p>
    <w:p w14:paraId="6C694C3C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a. Que las partes en el acuerdo estaban sujetas a alguna incapacidad en virtud de la ley que les es aplicable o que dicho acuerdo no es válido en virtud de la ley a que las partes lo han sometido, o si nada se hubiere indicado a este respecto, en virtud de la ley del Estado en que se haya dictado la sentencia; o</w:t>
      </w:r>
    </w:p>
    <w:p w14:paraId="1E9E84F2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b. Que la parte contra la cual se invoca la sentencia arbitral no haya sido debidamente notificada de la designación del </w:t>
      </w:r>
      <w:proofErr w:type="spell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arbitro</w:t>
      </w:r>
      <w:proofErr w:type="spell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o del procedimiento de arbitraje o no haya podido, por cualquier otra razón, hacer valer sus medios de defensa; o</w:t>
      </w:r>
    </w:p>
    <w:p w14:paraId="425F082A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c. Que la sentencia se refiera a una diferencia no prevista en el acuerdo de las partes de sometimiento al procedimiento arbitral; no obstante, si las disposiciones de la sentencia que se refieren a las cuestiones sometidas al arbitraje pueden separarse de las que no hayan sido sometidas al arbitraje, se podrá dar reconocimiento y ejecución a las primeras; o</w:t>
      </w:r>
    </w:p>
    <w:p w14:paraId="52C8FB57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d. Que la constitución del </w:t>
      </w:r>
      <w:proofErr w:type="gram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tribunal arbitral o el procedimiento arbitral</w:t>
      </w:r>
      <w:proofErr w:type="gram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no se hayan ajustado al acuerdo celebrado entre las partes o, en defecto de tal acuerdo, que la constitución del tribunal arbitral o el procedimiento arbitral no se hayan ajustado a la ley del Estado donde se haya efectuado el arbitraje; o</w:t>
      </w:r>
    </w:p>
    <w:p w14:paraId="035F0868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e. Que la sentencia no sea aún obligatoria para las partes o haya sido anulada o suspendida por una autoridad competente del Estado en que, o conforme a cuya ley, haya sido dictada esa sentencia.</w:t>
      </w:r>
    </w:p>
    <w:p w14:paraId="6FD2426A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lastRenderedPageBreak/>
        <w:t>2. También se podrá denegar el reconocimiento y la ejecución de una sentencia arbitral si la autoridad competente del Estado en que se pide el reconocimiento y la ejecución comprueba:</w:t>
      </w:r>
    </w:p>
    <w:p w14:paraId="704AC508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a. Que, según la ley de este Estado, el objeto de la diferencia no es susceptible de solución por vía de arbitraje; o</w:t>
      </w:r>
    </w:p>
    <w:p w14:paraId="7F75ACBA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b. Que el reconocimiento o la ejecución de la sentencia sean contrarios al orden </w:t>
      </w:r>
      <w:proofErr w:type="spellStart"/>
      <w:proofErr w:type="gram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publico</w:t>
      </w:r>
      <w:proofErr w:type="spellEnd"/>
      <w:proofErr w:type="gram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del mismo Estado.</w:t>
      </w:r>
    </w:p>
    <w:p w14:paraId="60706044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Artículo 6</w:t>
      </w:r>
    </w:p>
    <w:p w14:paraId="522A04EB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Si se ha pedido a la autoridad competente prevista en el Artículo 5, párrafo 1 e), la anulación o la suspensión de la sentencia, la autoridad ante la cual se invoca dicha sentencia podrá, si lo considera procedente, aplazar la decisión sobre la ejecución de la sentencia y, a solicitud de la parte que pida la ejecución, podrá también ordenar a la otra parte que otorgue garantías apropiadas.</w:t>
      </w:r>
    </w:p>
    <w:p w14:paraId="310B7AA5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Artículo 7</w:t>
      </w:r>
    </w:p>
    <w:p w14:paraId="206CEC87" w14:textId="77777777" w:rsidR="004D7AAA" w:rsidRPr="004D7AAA" w:rsidRDefault="004D7AAA" w:rsidP="004D7AAA">
      <w:pPr>
        <w:shd w:val="clear" w:color="auto" w:fill="FFFFFF"/>
        <w:spacing w:before="192" w:after="192" w:line="240" w:lineRule="auto"/>
        <w:ind w:left="120" w:right="144"/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</w:pP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La presente Convención estará abierta a la firma de los Estados Miembros de la Organización de los Estados Americanos.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Artículo 8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 xml:space="preserve">La presente Convención está sujeta a ratificación. Los instrumentos de rati </w:t>
      </w:r>
      <w:proofErr w:type="spell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ficación</w:t>
      </w:r>
      <w:proofErr w:type="spell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se </w:t>
      </w:r>
      <w:proofErr w:type="gram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depositaran</w:t>
      </w:r>
      <w:proofErr w:type="gram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en la Secretaría General de la Organización de los Estados Americanos.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Artículo 9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La presente Convención quedará abierta a la adhesión de cualquier otro Estado. Los instrumentos de adhesión se depositarán en la Secretaría General de la Organización de los Estados Americanos.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Artículo 10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La presente Convención entrará en vigor el trigésimo día a partir de la fecha en que haya sido depositado el segundo instrumento de ratificación.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Para cada Estado que ratifique la Convención o se adhiera a ella después de haber sido depositado el segundo instrumento de ratificación, la Convención entrará en vigor el trigésimo día a partir de la fecha en que tal Estado haya depositado su instrumento de ratificación o adhesión.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Artículo 11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Los Estados Partes que tengan dos o más unidades territoriales en las que rijan distintos sistemas jurídicos relacionados con cuestiones tratadas en la presente Convención, podrán declarar, en el momento de la firma, ratificación o adhesión, que la Convención se aplicará a todas sus unidades territoriales o solamente a una o más de ellas.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 xml:space="preserve">Tales declaraciones podrán ser modificadas mediante declaraciones ulteriores, que especificarán expresamente la o las unidades territoriales a las que se </w:t>
      </w:r>
      <w:proofErr w:type="spell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a</w:t>
      </w:r>
      <w:proofErr w:type="spell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</w:t>
      </w:r>
      <w:proofErr w:type="spell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plicará</w:t>
      </w:r>
      <w:proofErr w:type="spell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la presente Convención. Dichas declaraciones ulteriores se transmitirán a la Secretarla General de la Organización de los Estados Americanos y surtirán efecto treinta días después de recibidas.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Artículo 12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 xml:space="preserve">La presente Convención regirá indefinidamente, pero cualquiera de los </w:t>
      </w:r>
      <w:proofErr w:type="gram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Estados Partes</w:t>
      </w:r>
      <w:proofErr w:type="gram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podrá denunciarla. El instrumento de denuncia será depositado en la Secretaría General de la Organización de los Estados Americanos. Transcurrido un año, contado a partir de la fecha de </w:t>
      </w:r>
      <w:proofErr w:type="spell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deposito</w:t>
      </w:r>
      <w:proofErr w:type="spell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 xml:space="preserve"> del instrumento de denuncia, la Convención cesará en sus efectos para el Estado denunciante, quedando subsistente para los demás </w:t>
      </w:r>
      <w:proofErr w:type="gramStart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Estados Partes</w:t>
      </w:r>
      <w:proofErr w:type="gramEnd"/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t>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Artículo 13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 xml:space="preserve">El instrumento original de la presente Convención, cuyos textos en español francés, inglés y portugués son igualmente auténticos, será depositado en la Secretaría General de la Organización 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lastRenderedPageBreak/>
        <w:t>de los Estados Americanos. Dicha Secretaría notificará a los Estados Miembros de la Organización de los Estados Americanos y a los Estados que se hayan adherido a la Convención, las firmas, los depósitos de instrumentos de ratificación, adhesión y denuncia, así como las reserves que hubiere. También les transmitirá las declaraciones previstas en el Artículo 11 de la presente Convención.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EN FE DE LO CUAL, los plenipotenciarios infrascritos, debidamente autorizados por sus respectivos Gobiernos, firman la presente Convención.</w:t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</w:r>
      <w:r w:rsidRPr="004D7AAA">
        <w:rPr>
          <w:rFonts w:ascii="Berlin Sans FB" w:eastAsia="Times New Roman" w:hAnsi="Berlin Sans FB" w:cs="Tahoma"/>
          <w:color w:val="333333"/>
          <w:sz w:val="20"/>
          <w:szCs w:val="20"/>
          <w:lang w:eastAsia="es-SV"/>
        </w:rPr>
        <w:br/>
        <w:t>HECHA EN LA CIUDAD DE PANAMÁ, República de Panamá, el día treinta de enero de mil novecientos setenta y cinco.</w:t>
      </w:r>
    </w:p>
    <w:p w14:paraId="22281913" w14:textId="77777777" w:rsidR="00D03858" w:rsidRPr="004D7AAA" w:rsidRDefault="00D03858" w:rsidP="004D7AAA">
      <w:pPr>
        <w:rPr>
          <w:rFonts w:ascii="Berlin Sans FB" w:hAnsi="Berlin Sans FB"/>
        </w:rPr>
      </w:pPr>
    </w:p>
    <w:sectPr w:rsidR="00D03858" w:rsidRPr="004D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AA"/>
    <w:rsid w:val="0020063E"/>
    <w:rsid w:val="00395DF8"/>
    <w:rsid w:val="004D7AAA"/>
    <w:rsid w:val="00D03858"/>
    <w:rsid w:val="00D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91951"/>
  <w15:chartTrackingRefBased/>
  <w15:docId w15:val="{F936C605-6065-4A15-A976-44BDB2C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D7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7AAA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4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4D7AA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D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s.org/juridico/spanish/firmas/b-3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5946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 Orellana Orellana</dc:creator>
  <cp:keywords/>
  <dc:description/>
  <cp:lastModifiedBy>Mell Orellana Orellana</cp:lastModifiedBy>
  <cp:revision>1</cp:revision>
  <dcterms:created xsi:type="dcterms:W3CDTF">2020-09-27T18:11:00Z</dcterms:created>
  <dcterms:modified xsi:type="dcterms:W3CDTF">2020-09-27T18:12:00Z</dcterms:modified>
</cp:coreProperties>
</file>